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ABCB" w14:textId="6FF27214" w:rsidR="00FE10AB" w:rsidRPr="00FE10AB" w:rsidRDefault="00FE10AB" w:rsidP="00FE10AB">
      <w:pPr>
        <w:tabs>
          <w:tab w:val="num" w:pos="720"/>
        </w:tabs>
        <w:ind w:left="720" w:hanging="360"/>
        <w:jc w:val="center"/>
        <w:rPr>
          <w:b/>
          <w:bCs/>
          <w:sz w:val="32"/>
          <w:szCs w:val="32"/>
        </w:rPr>
      </w:pPr>
      <w:bookmarkStart w:id="0" w:name="_ftn1"/>
      <w:r>
        <w:rPr>
          <w:b/>
          <w:bCs/>
          <w:sz w:val="32"/>
          <w:szCs w:val="32"/>
        </w:rPr>
        <w:t>References</w:t>
      </w:r>
    </w:p>
    <w:p w14:paraId="424C0760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"_ftnref1"</w:instrText>
      </w:r>
      <w:r w:rsidRPr="00FE10AB">
        <w:fldChar w:fldCharType="separate"/>
      </w:r>
      <w:r w:rsidRPr="00FE10AB">
        <w:rPr>
          <w:rStyle w:val="Hyperlink"/>
        </w:rPr>
        <w:t>[1]</w:t>
      </w:r>
      <w:r w:rsidRPr="00FE10AB">
        <w:fldChar w:fldCharType="end"/>
      </w:r>
      <w:bookmarkEnd w:id="0"/>
      <w:r w:rsidRPr="00FE10AB">
        <w:t xml:space="preserve"> North Sea Transition Authority, </w:t>
      </w:r>
      <w:hyperlink r:id="rId7" w:history="1">
        <w:r w:rsidRPr="00FE10AB">
          <w:rPr>
            <w:rStyle w:val="Hyperlink"/>
          </w:rPr>
          <w:t>‘NSTA Grants Consent for Jackdaw’</w:t>
        </w:r>
      </w:hyperlink>
      <w:r w:rsidRPr="00FE10AB">
        <w:t xml:space="preserve"> (21 October 2026), accessed 22 October 2026; </w:t>
      </w:r>
      <w:hyperlink r:id="rId8" w:history="1">
        <w:r w:rsidRPr="00FE10AB">
          <w:rPr>
            <w:rStyle w:val="Hyperlink"/>
          </w:rPr>
          <w:t>notice under regulation 16(1)</w:t>
        </w:r>
      </w:hyperlink>
      <w:r w:rsidRPr="00FE10AB">
        <w:t xml:space="preserve"> (published 21 October 2026), recording the Secretary of State’s agreement on 14 October 2026.</w:t>
      </w:r>
    </w:p>
    <w:bookmarkStart w:id="1" w:name="_ftn2"/>
    <w:p w14:paraId="79C3C743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"_ftnref2"</w:instrText>
      </w:r>
      <w:r w:rsidRPr="00FE10AB">
        <w:fldChar w:fldCharType="separate"/>
      </w:r>
      <w:r w:rsidRPr="00FE10AB">
        <w:rPr>
          <w:rStyle w:val="Hyperlink"/>
        </w:rPr>
        <w:t>[2]</w:t>
      </w:r>
      <w:r w:rsidRPr="00FE10AB">
        <w:fldChar w:fldCharType="end"/>
      </w:r>
      <w:bookmarkEnd w:id="1"/>
      <w:r w:rsidRPr="00FE10AB">
        <w:t xml:space="preserve"> Intergovernmental Panel on Climate Change, ‘Summary for Policymakers’ in </w:t>
      </w:r>
      <w:proofErr w:type="spellStart"/>
      <w:r w:rsidRPr="00FE10AB">
        <w:t>Hoesung</w:t>
      </w:r>
      <w:proofErr w:type="spellEnd"/>
      <w:r w:rsidRPr="00FE10AB">
        <w:t xml:space="preserve"> Lee and José Romero (eds), </w:t>
      </w:r>
      <w:hyperlink r:id="rId9" w:history="1">
        <w:r w:rsidRPr="00FE10AB">
          <w:rPr>
            <w:rStyle w:val="Hyperlink"/>
            <w:i/>
            <w:iCs/>
          </w:rPr>
          <w:t>Climate Change 2023: Synthesis Report</w:t>
        </w:r>
      </w:hyperlink>
      <w:r w:rsidRPr="00FE10AB">
        <w:t xml:space="preserve"> (IPCC 2023), sections B.1, B.5–B.6 and C.1, accessed 22 October 2026.</w:t>
      </w:r>
    </w:p>
    <w:bookmarkStart w:id="2" w:name="_ftn3"/>
    <w:p w14:paraId="66C049ED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"_ftnref3"</w:instrText>
      </w:r>
      <w:r w:rsidRPr="00FE10AB">
        <w:fldChar w:fldCharType="separate"/>
      </w:r>
      <w:r w:rsidRPr="00FE10AB">
        <w:rPr>
          <w:rStyle w:val="Hyperlink"/>
        </w:rPr>
        <w:t>[3]</w:t>
      </w:r>
      <w:r w:rsidRPr="00FE10AB">
        <w:fldChar w:fldCharType="end"/>
      </w:r>
      <w:bookmarkEnd w:id="2"/>
      <w:r w:rsidRPr="00FE10AB">
        <w:t xml:space="preserve"> </w:t>
      </w:r>
      <w:hyperlink r:id="rId10" w:history="1">
        <w:r w:rsidRPr="00FE10AB">
          <w:rPr>
            <w:rStyle w:val="Hyperlink"/>
            <w:i/>
            <w:iCs/>
          </w:rPr>
          <w:t>R (Finch on behalf of the Weald Action Group) v Surrey County Council</w:t>
        </w:r>
      </w:hyperlink>
      <w:hyperlink r:id="rId11" w:history="1">
        <w:r w:rsidRPr="00FE10AB">
          <w:rPr>
            <w:rStyle w:val="Hyperlink"/>
          </w:rPr>
          <w:t xml:space="preserve"> [2024] UKSC 20</w:t>
        </w:r>
      </w:hyperlink>
      <w:r w:rsidRPr="00FE10AB">
        <w:t>, [7], [93]</w:t>
      </w:r>
      <w:proofErr w:type="gramStart"/>
      <w:r w:rsidRPr="00FE10AB">
        <w:t>–[</w:t>
      </w:r>
      <w:proofErr w:type="gramEnd"/>
      <w:r w:rsidRPr="00FE10AB">
        <w:t>97].</w:t>
      </w:r>
    </w:p>
    <w:bookmarkStart w:id="3" w:name="_ftn4"/>
    <w:p w14:paraId="79E0FB36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"_ftnref4"</w:instrText>
      </w:r>
      <w:r w:rsidRPr="00FE10AB">
        <w:fldChar w:fldCharType="separate"/>
      </w:r>
      <w:r w:rsidRPr="00FE10AB">
        <w:rPr>
          <w:rStyle w:val="Hyperlink"/>
        </w:rPr>
        <w:t>[4]</w:t>
      </w:r>
      <w:r w:rsidRPr="00FE10AB">
        <w:fldChar w:fldCharType="end"/>
      </w:r>
      <w:bookmarkEnd w:id="3"/>
      <w:r w:rsidRPr="00FE10AB">
        <w:t xml:space="preserve"> </w:t>
      </w:r>
      <w:hyperlink r:id="rId12" w:history="1">
        <w:r w:rsidRPr="00FE10AB">
          <w:rPr>
            <w:rStyle w:val="Hyperlink"/>
            <w:i/>
            <w:iCs/>
          </w:rPr>
          <w:t>Petitions of Greenpeace Ltd and Uplift for Judicial Review</w:t>
        </w:r>
      </w:hyperlink>
      <w:hyperlink r:id="rId13" w:history="1">
        <w:r w:rsidRPr="00FE10AB">
          <w:rPr>
            <w:rStyle w:val="Hyperlink"/>
          </w:rPr>
          <w:t xml:space="preserve"> [2025] CSOH 10</w:t>
        </w:r>
      </w:hyperlink>
      <w:r w:rsidRPr="00FE10AB">
        <w:t>, [2]</w:t>
      </w:r>
      <w:proofErr w:type="gramStart"/>
      <w:r w:rsidRPr="00FE10AB">
        <w:t>–[</w:t>
      </w:r>
      <w:proofErr w:type="gramEnd"/>
      <w:r w:rsidRPr="00FE10AB">
        <w:t>4], [151]</w:t>
      </w:r>
      <w:proofErr w:type="gramStart"/>
      <w:r w:rsidRPr="00FE10AB">
        <w:t>–[</w:t>
      </w:r>
      <w:proofErr w:type="gramEnd"/>
      <w:r w:rsidRPr="00FE10AB">
        <w:t>160]. The opinion is dated 29 January 2025 and was published on 30 January 2025.</w:t>
      </w:r>
    </w:p>
    <w:bookmarkStart w:id="4" w:name="_ftn5"/>
    <w:p w14:paraId="471238F5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"_ftnref5"</w:instrText>
      </w:r>
      <w:r w:rsidRPr="00FE10AB">
        <w:fldChar w:fldCharType="separate"/>
      </w:r>
      <w:r w:rsidRPr="00FE10AB">
        <w:rPr>
          <w:rStyle w:val="Hyperlink"/>
        </w:rPr>
        <w:t>[5]</w:t>
      </w:r>
      <w:r w:rsidRPr="00FE10AB">
        <w:fldChar w:fldCharType="end"/>
      </w:r>
      <w:bookmarkEnd w:id="4"/>
      <w:r w:rsidRPr="00FE10AB">
        <w:t xml:space="preserve"> </w:t>
      </w:r>
      <w:hyperlink r:id="rId14" w:history="1">
        <w:r w:rsidRPr="00FE10AB">
          <w:rPr>
            <w:rStyle w:val="Hyperlink"/>
            <w:i/>
            <w:iCs/>
          </w:rPr>
          <w:t>Finch</w:t>
        </w:r>
      </w:hyperlink>
      <w:r w:rsidRPr="00FE10AB">
        <w:t xml:space="preserve"> (n 3) [3], [61]</w:t>
      </w:r>
      <w:proofErr w:type="gramStart"/>
      <w:r w:rsidRPr="00FE10AB">
        <w:t>–[</w:t>
      </w:r>
      <w:proofErr w:type="gramEnd"/>
      <w:r w:rsidRPr="00FE10AB">
        <w:t>63].</w:t>
      </w:r>
    </w:p>
    <w:bookmarkStart w:id="5" w:name="_ftn6"/>
    <w:p w14:paraId="211FF00A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"_ftnref6"</w:instrText>
      </w:r>
      <w:r w:rsidRPr="00FE10AB">
        <w:fldChar w:fldCharType="separate"/>
      </w:r>
      <w:r w:rsidRPr="00FE10AB">
        <w:rPr>
          <w:rStyle w:val="Hyperlink"/>
        </w:rPr>
        <w:t>[6]</w:t>
      </w:r>
      <w:r w:rsidRPr="00FE10AB">
        <w:fldChar w:fldCharType="end"/>
      </w:r>
      <w:bookmarkEnd w:id="5"/>
      <w:r w:rsidRPr="00FE10AB">
        <w:t xml:space="preserve"> Department for Energy Security and Net Zero (DESNZ), </w:t>
      </w:r>
      <w:hyperlink r:id="rId15" w:history="1">
        <w:r w:rsidRPr="00FE10AB">
          <w:rPr>
            <w:rStyle w:val="Hyperlink"/>
          </w:rPr>
          <w:t>‘Jackdaw Field Development’</w:t>
        </w:r>
      </w:hyperlink>
      <w:r w:rsidRPr="00FE10AB">
        <w:t xml:space="preserve"> (updated 21 October 2026), ‘Key Dates’, accessed 22 October 2026.</w:t>
      </w:r>
    </w:p>
    <w:bookmarkStart w:id="6" w:name="_ftn7"/>
    <w:p w14:paraId="61486BB9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"_ftnref7"</w:instrText>
      </w:r>
      <w:r w:rsidRPr="00FE10AB">
        <w:fldChar w:fldCharType="separate"/>
      </w:r>
      <w:r w:rsidRPr="00FE10AB">
        <w:rPr>
          <w:rStyle w:val="Hyperlink"/>
        </w:rPr>
        <w:t>[7]</w:t>
      </w:r>
      <w:r w:rsidRPr="00FE10AB">
        <w:fldChar w:fldCharType="end"/>
      </w:r>
      <w:bookmarkEnd w:id="6"/>
      <w:r w:rsidRPr="00FE10AB">
        <w:t xml:space="preserve"> Secretary of State for Energy Security and Net Zero, </w:t>
      </w:r>
      <w:hyperlink r:id="rId16" w:history="1">
        <w:r w:rsidRPr="00FE10AB">
          <w:rPr>
            <w:rStyle w:val="Hyperlink"/>
            <w:i/>
            <w:iCs/>
          </w:rPr>
          <w:t>Regulation 14 Decision: Jackdaw Field Development</w:t>
        </w:r>
      </w:hyperlink>
      <w:r w:rsidRPr="00FE10AB">
        <w:t xml:space="preserve"> (14 October 2026, published 21 October 2026) (‘Decision’), paras 40–43, 174–178, 183 and 195.</w:t>
      </w:r>
    </w:p>
    <w:bookmarkStart w:id="7" w:name="_ftn8"/>
    <w:p w14:paraId="32598BF9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"_ftnref8"</w:instrText>
      </w:r>
      <w:r w:rsidRPr="00FE10AB">
        <w:fldChar w:fldCharType="separate"/>
      </w:r>
      <w:r w:rsidRPr="00FE10AB">
        <w:rPr>
          <w:rStyle w:val="Hyperlink"/>
        </w:rPr>
        <w:t>[8]</w:t>
      </w:r>
      <w:r w:rsidRPr="00FE10AB">
        <w:fldChar w:fldCharType="end"/>
      </w:r>
      <w:bookmarkEnd w:id="7"/>
      <w:r w:rsidRPr="00FE10AB">
        <w:t xml:space="preserve"> DESNZ, </w:t>
      </w:r>
      <w:hyperlink r:id="rId17" w:history="1">
        <w:r w:rsidRPr="00FE10AB">
          <w:rPr>
            <w:rStyle w:val="Hyperlink"/>
          </w:rPr>
          <w:t>‘2025 UK Greenhouse Gas Emissions: Provisional Figures – Statistical Release’</w:t>
        </w:r>
      </w:hyperlink>
      <w:r w:rsidRPr="00FE10AB">
        <w:t xml:space="preserve"> (2 April 2026), table A, accessed 22 October 2026. The electricity-supply figure is 37.4 </w:t>
      </w:r>
      <w:proofErr w:type="spellStart"/>
      <w:r w:rsidRPr="00FE10AB">
        <w:t>MtCO₂e</w:t>
      </w:r>
      <w:proofErr w:type="spellEnd"/>
      <w:r w:rsidRPr="00FE10AB">
        <w:t>.</w:t>
      </w:r>
    </w:p>
    <w:bookmarkStart w:id="8" w:name="_ftn9"/>
    <w:p w14:paraId="305B9B49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"_ftnref9"</w:instrText>
      </w:r>
      <w:r w:rsidRPr="00FE10AB">
        <w:fldChar w:fldCharType="separate"/>
      </w:r>
      <w:r w:rsidRPr="00FE10AB">
        <w:rPr>
          <w:rStyle w:val="Hyperlink"/>
        </w:rPr>
        <w:t>[9]</w:t>
      </w:r>
      <w:r w:rsidRPr="00FE10AB">
        <w:fldChar w:fldCharType="end"/>
      </w:r>
      <w:bookmarkEnd w:id="8"/>
      <w:r w:rsidRPr="00FE10AB">
        <w:t xml:space="preserve"> </w:t>
      </w:r>
      <w:hyperlink r:id="rId18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177, 194 and 232–235.</w:t>
      </w:r>
    </w:p>
    <w:bookmarkStart w:id="9" w:name="_ftn10"/>
    <w:p w14:paraId="45611277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"_ftnref10"</w:instrText>
      </w:r>
      <w:r w:rsidRPr="00FE10AB">
        <w:fldChar w:fldCharType="separate"/>
      </w:r>
      <w:r w:rsidRPr="00FE10AB">
        <w:rPr>
          <w:rStyle w:val="Hyperlink"/>
        </w:rPr>
        <w:t>[10]</w:t>
      </w:r>
      <w:r w:rsidRPr="00FE10AB">
        <w:fldChar w:fldCharType="end"/>
      </w:r>
      <w:bookmarkEnd w:id="9"/>
      <w:r w:rsidRPr="00FE10AB">
        <w:t xml:space="preserve"> </w:t>
      </w:r>
      <w:hyperlink r:id="rId19" w:history="1">
        <w:r w:rsidRPr="00FE10AB">
          <w:rPr>
            <w:rStyle w:val="Hyperlink"/>
          </w:rPr>
          <w:t>Decision</w:t>
        </w:r>
      </w:hyperlink>
      <w:r w:rsidRPr="00FE10AB">
        <w:t xml:space="preserve"> (n 7), paras 188–195, on the N−1 security-of-supply test.</w:t>
      </w:r>
    </w:p>
    <w:bookmarkStart w:id="10" w:name="_ftn11"/>
    <w:p w14:paraId="380E3BFE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"_ftnref11"</w:instrText>
      </w:r>
      <w:r w:rsidRPr="00FE10AB">
        <w:fldChar w:fldCharType="separate"/>
      </w:r>
      <w:r w:rsidRPr="00FE10AB">
        <w:rPr>
          <w:rStyle w:val="Hyperlink"/>
        </w:rPr>
        <w:t>[11]</w:t>
      </w:r>
      <w:r w:rsidRPr="00FE10AB">
        <w:fldChar w:fldCharType="end"/>
      </w:r>
      <w:bookmarkEnd w:id="10"/>
      <w:r w:rsidRPr="00FE10AB">
        <w:t xml:space="preserve"> Bob Ward, </w:t>
      </w:r>
      <w:hyperlink r:id="rId20" w:history="1">
        <w:r w:rsidRPr="00FE10AB">
          <w:rPr>
            <w:rStyle w:val="Hyperlink"/>
          </w:rPr>
          <w:t>‘Grantham Institute Respond to Government Approval of Jackdaw’</w:t>
        </w:r>
      </w:hyperlink>
      <w:r w:rsidRPr="00FE10AB">
        <w:t xml:space="preserve"> (LSE Grantham Research Institute, 21 October 2026); Tamasin Cave, </w:t>
      </w:r>
      <w:hyperlink r:id="rId21" w:history="1">
        <w:r w:rsidRPr="00FE10AB">
          <w:rPr>
            <w:rStyle w:val="Hyperlink"/>
          </w:rPr>
          <w:t>‘Jackdaw Approved. Rosebank?’</w:t>
        </w:r>
      </w:hyperlink>
      <w:r w:rsidRPr="00FE10AB">
        <w:t xml:space="preserve"> (Uplift, 21 October 2026). Both accessed 22 October 2026.</w:t>
      </w:r>
    </w:p>
    <w:bookmarkStart w:id="11" w:name="_ftn12"/>
    <w:p w14:paraId="1520542C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"_ftnref12"</w:instrText>
      </w:r>
      <w:r w:rsidRPr="00FE10AB">
        <w:fldChar w:fldCharType="separate"/>
      </w:r>
      <w:r w:rsidRPr="00FE10AB">
        <w:rPr>
          <w:rStyle w:val="Hyperlink"/>
        </w:rPr>
        <w:t>[12]</w:t>
      </w:r>
      <w:r w:rsidRPr="00FE10AB">
        <w:fldChar w:fldCharType="end"/>
      </w:r>
      <w:bookmarkEnd w:id="11"/>
      <w:r w:rsidRPr="00FE10AB">
        <w:t xml:space="preserve"> Science Media Centre, </w:t>
      </w:r>
      <w:hyperlink r:id="rId22" w:history="1">
        <w:r w:rsidRPr="00FE10AB">
          <w:rPr>
            <w:rStyle w:val="Hyperlink"/>
          </w:rPr>
          <w:t>‘Expert Reaction to Government Approval of Jackdaw Gas Field’</w:t>
        </w:r>
      </w:hyperlink>
      <w:r w:rsidRPr="00FE10AB">
        <w:t xml:space="preserve"> (21 October 2026), comments of Myles Allen and Iain Staffell, accessed 22 October 2026.</w:t>
      </w:r>
    </w:p>
    <w:bookmarkStart w:id="12" w:name="_ftn13"/>
    <w:p w14:paraId="1449C7BF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lastRenderedPageBreak/>
        <w:fldChar w:fldCharType="begin"/>
      </w:r>
      <w:r w:rsidRPr="00FE10AB">
        <w:instrText>HYPERLINK "" \l "_ftnref13"</w:instrText>
      </w:r>
      <w:r w:rsidRPr="00FE10AB">
        <w:fldChar w:fldCharType="separate"/>
      </w:r>
      <w:r w:rsidRPr="00FE10AB">
        <w:rPr>
          <w:rStyle w:val="Hyperlink"/>
        </w:rPr>
        <w:t>[13]</w:t>
      </w:r>
      <w:r w:rsidRPr="00FE10AB">
        <w:fldChar w:fldCharType="end"/>
      </w:r>
      <w:bookmarkEnd w:id="12"/>
      <w:r w:rsidRPr="00FE10AB">
        <w:t xml:space="preserve"> </w:t>
      </w:r>
      <w:hyperlink r:id="rId23" w:history="1">
        <w:r w:rsidRPr="00FE10AB">
          <w:rPr>
            <w:rStyle w:val="Hyperlink"/>
            <w:i/>
            <w:iCs/>
          </w:rPr>
          <w:t>Obligations of States in respect of Climate Change</w:t>
        </w:r>
      </w:hyperlink>
      <w:r w:rsidRPr="00FE10AB">
        <w:t xml:space="preserve"> (Advisory Opinion, 23 July 2025), paras 224, 276–280 and 427–428 (‘ICJ Opinion’).</w:t>
      </w:r>
    </w:p>
    <w:bookmarkStart w:id="13" w:name="_ftn14"/>
    <w:p w14:paraId="6D80A0DB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"_ftnref14"</w:instrText>
      </w:r>
      <w:r w:rsidRPr="00FE10AB">
        <w:fldChar w:fldCharType="separate"/>
      </w:r>
      <w:r w:rsidRPr="00FE10AB">
        <w:rPr>
          <w:rStyle w:val="Hyperlink"/>
        </w:rPr>
        <w:t>[14]</w:t>
      </w:r>
      <w:r w:rsidRPr="00FE10AB">
        <w:fldChar w:fldCharType="end"/>
      </w:r>
      <w:bookmarkEnd w:id="13"/>
      <w:r w:rsidRPr="00FE10AB">
        <w:t xml:space="preserve"> </w:t>
      </w:r>
      <w:hyperlink r:id="rId24" w:history="1">
        <w:r w:rsidRPr="00FE10AB">
          <w:rPr>
            <w:rStyle w:val="Hyperlink"/>
          </w:rPr>
          <w:t>Decision</w:t>
        </w:r>
      </w:hyperlink>
      <w:r w:rsidRPr="00FE10AB">
        <w:t xml:space="preserve"> (n 7), annex A, ‘International Court of Justice Advisory Opinion’, PDF p 82.</w:t>
      </w:r>
    </w:p>
    <w:bookmarkStart w:id="14" w:name="_ftn15"/>
    <w:p w14:paraId="7AA7F3C8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"_ftnref15"</w:instrText>
      </w:r>
      <w:r w:rsidRPr="00FE10AB">
        <w:fldChar w:fldCharType="separate"/>
      </w:r>
      <w:r w:rsidRPr="00FE10AB">
        <w:rPr>
          <w:rStyle w:val="Hyperlink"/>
        </w:rPr>
        <w:t>[15]</w:t>
      </w:r>
      <w:r w:rsidRPr="00FE10AB">
        <w:fldChar w:fldCharType="end"/>
      </w:r>
      <w:bookmarkEnd w:id="14"/>
      <w:r w:rsidRPr="00FE10AB">
        <w:t xml:space="preserve"> </w:t>
      </w:r>
      <w:hyperlink r:id="rId25" w:history="1">
        <w:r w:rsidRPr="00FE10AB">
          <w:rPr>
            <w:rStyle w:val="Hyperlink"/>
            <w:i/>
            <w:iCs/>
          </w:rPr>
          <w:t>R (Friends of the Earth Ltd) v Secretary of State for International Trade</w:t>
        </w:r>
      </w:hyperlink>
      <w:hyperlink r:id="rId26" w:history="1">
        <w:r w:rsidRPr="00FE10AB">
          <w:rPr>
            <w:rStyle w:val="Hyperlink"/>
          </w:rPr>
          <w:t xml:space="preserve"> [2023] EWCA </w:t>
        </w:r>
        <w:proofErr w:type="spellStart"/>
        <w:r w:rsidRPr="00FE10AB">
          <w:rPr>
            <w:rStyle w:val="Hyperlink"/>
          </w:rPr>
          <w:t>Civ</w:t>
        </w:r>
        <w:proofErr w:type="spellEnd"/>
        <w:r w:rsidRPr="00FE10AB">
          <w:rPr>
            <w:rStyle w:val="Hyperlink"/>
          </w:rPr>
          <w:t xml:space="preserve"> 14</w:t>
        </w:r>
      </w:hyperlink>
      <w:r w:rsidRPr="00FE10AB">
        <w:t>, [40], especially [40(vii)], [50(iii)] and [55]. The case concerns unincorporated treaties; customary international law raises a separate question.</w:t>
      </w:r>
    </w:p>
    <w:bookmarkStart w:id="15" w:name="_ftn16"/>
    <w:p w14:paraId="1840342C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"_ftnref16"</w:instrText>
      </w:r>
      <w:r w:rsidRPr="00FE10AB">
        <w:fldChar w:fldCharType="separate"/>
      </w:r>
      <w:r w:rsidRPr="00FE10AB">
        <w:rPr>
          <w:rStyle w:val="Hyperlink"/>
        </w:rPr>
        <w:t>[16]</w:t>
      </w:r>
      <w:r w:rsidRPr="00FE10AB">
        <w:fldChar w:fldCharType="end"/>
      </w:r>
      <w:bookmarkEnd w:id="15"/>
      <w:r w:rsidRPr="00FE10AB">
        <w:t xml:space="preserve"> </w:t>
      </w:r>
      <w:hyperlink r:id="rId27" w:history="1">
        <w:r w:rsidRPr="00FE10AB">
          <w:rPr>
            <w:rStyle w:val="Hyperlink"/>
          </w:rPr>
          <w:t>ICJ Opinion</w:t>
        </w:r>
      </w:hyperlink>
      <w:r w:rsidRPr="00FE10AB">
        <w:t xml:space="preserve"> (n 13), paras 138, 276–280 and 300; </w:t>
      </w:r>
      <w:hyperlink r:id="rId28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175–183 and annex A, ‘International Court of Justice’s Advisory Opinion on Climate Change’, PDF p 82. See also Christina Voigt, </w:t>
      </w:r>
      <w:hyperlink r:id="rId29" w:history="1">
        <w:r w:rsidRPr="00FE10AB">
          <w:rPr>
            <w:rStyle w:val="Hyperlink"/>
          </w:rPr>
          <w:t>‘“Doing the Utmost”: Due Diligence as the Standard of Conduct in International Climate Law’</w:t>
        </w:r>
      </w:hyperlink>
      <w:r w:rsidRPr="00FE10AB">
        <w:t xml:space="preserve"> (Climate Law Blog, 3 September 2025), accessed 22 October 2026.</w:t>
      </w:r>
    </w:p>
    <w:bookmarkStart w:id="16" w:name="_ftn17"/>
    <w:p w14:paraId="721E40D7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"_ftnref17"</w:instrText>
      </w:r>
      <w:r w:rsidRPr="00FE10AB">
        <w:fldChar w:fldCharType="separate"/>
      </w:r>
      <w:r w:rsidRPr="00FE10AB">
        <w:rPr>
          <w:rStyle w:val="Hyperlink"/>
        </w:rPr>
        <w:t>[17]</w:t>
      </w:r>
      <w:r w:rsidRPr="00FE10AB">
        <w:fldChar w:fldCharType="end"/>
      </w:r>
      <w:bookmarkEnd w:id="16"/>
      <w:r w:rsidRPr="00FE10AB">
        <w:t xml:space="preserve"> DESNZ, </w:t>
      </w:r>
      <w:hyperlink r:id="rId30" w:history="1">
        <w:r w:rsidRPr="00FE10AB">
          <w:rPr>
            <w:rStyle w:val="Hyperlink"/>
            <w:i/>
            <w:iCs/>
          </w:rPr>
          <w:t>Environmental Impact Assessment (EIA): Assessing Effects of Downstream Scope 3 Emissions on Climate</w:t>
        </w:r>
      </w:hyperlink>
      <w:r w:rsidRPr="00FE10AB">
        <w:t xml:space="preserve"> (June 2025) (‘Supplementary Guidance’), 11–12.</w:t>
      </w:r>
    </w:p>
    <w:bookmarkStart w:id="17" w:name="_ftn18"/>
    <w:p w14:paraId="0DAA758A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"_ftnref18"</w:instrText>
      </w:r>
      <w:r w:rsidRPr="00FE10AB">
        <w:fldChar w:fldCharType="separate"/>
      </w:r>
      <w:r w:rsidRPr="00FE10AB">
        <w:rPr>
          <w:rStyle w:val="Hyperlink"/>
        </w:rPr>
        <w:t>[18]</w:t>
      </w:r>
      <w:r w:rsidRPr="00FE10AB">
        <w:fldChar w:fldCharType="end"/>
      </w:r>
      <w:bookmarkEnd w:id="17"/>
      <w:r w:rsidRPr="00FE10AB">
        <w:t xml:space="preserve"> </w:t>
      </w:r>
      <w:hyperlink r:id="rId31" w:history="1">
        <w:r w:rsidRPr="00FE10AB">
          <w:rPr>
            <w:rStyle w:val="Hyperlink"/>
          </w:rPr>
          <w:t>Offshore Oil and Gas Exploration, Production, Unloading and Storage (Environmental Impact Assessment) Regulations 2020</w:t>
        </w:r>
      </w:hyperlink>
      <w:r w:rsidRPr="00FE10AB">
        <w:t>, SI 2020/1497 (‘2020 Regulations’), reg 14(1)</w:t>
      </w:r>
      <w:proofErr w:type="gramStart"/>
      <w:r w:rsidRPr="00FE10AB">
        <w:t>–(</w:t>
      </w:r>
      <w:proofErr w:type="gramEnd"/>
      <w:r w:rsidRPr="00FE10AB">
        <w:t>3).</w:t>
      </w:r>
    </w:p>
    <w:bookmarkStart w:id="18" w:name="_ftn19"/>
    <w:p w14:paraId="5F6BE54E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"_ftnref19"</w:instrText>
      </w:r>
      <w:r w:rsidRPr="00FE10AB">
        <w:fldChar w:fldCharType="separate"/>
      </w:r>
      <w:r w:rsidRPr="00FE10AB">
        <w:rPr>
          <w:rStyle w:val="Hyperlink"/>
        </w:rPr>
        <w:t>[19]</w:t>
      </w:r>
      <w:r w:rsidRPr="00FE10AB">
        <w:fldChar w:fldCharType="end"/>
      </w:r>
      <w:bookmarkEnd w:id="18"/>
      <w:r w:rsidRPr="00FE10AB">
        <w:t xml:space="preserve"> </w:t>
      </w:r>
      <w:hyperlink r:id="rId32" w:history="1">
        <w:r w:rsidRPr="00FE10AB">
          <w:rPr>
            <w:rStyle w:val="Hyperlink"/>
          </w:rPr>
          <w:t>Decision</w:t>
        </w:r>
      </w:hyperlink>
      <w:r w:rsidRPr="00FE10AB">
        <w:t xml:space="preserve"> (n 7), paras 66–67 and 98–102; </w:t>
      </w:r>
      <w:hyperlink r:id="rId33" w:history="1">
        <w:r w:rsidRPr="00FE10AB">
          <w:rPr>
            <w:rStyle w:val="Hyperlink"/>
          </w:rPr>
          <w:t>2020 Regulations</w:t>
        </w:r>
      </w:hyperlink>
      <w:r w:rsidRPr="00FE10AB">
        <w:t xml:space="preserve"> (n 18), regs 8 and 12 and </w:t>
      </w:r>
      <w:proofErr w:type="spellStart"/>
      <w:r w:rsidRPr="00FE10AB">
        <w:t>sch</w:t>
      </w:r>
      <w:proofErr w:type="spellEnd"/>
      <w:r w:rsidRPr="00FE10AB">
        <w:t xml:space="preserve"> 6, para 7.</w:t>
      </w:r>
    </w:p>
    <w:bookmarkStart w:id="19" w:name="_ftn20"/>
    <w:p w14:paraId="4948C7B0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"_ftnref20"</w:instrText>
      </w:r>
      <w:r w:rsidRPr="00FE10AB">
        <w:fldChar w:fldCharType="separate"/>
      </w:r>
      <w:r w:rsidRPr="00FE10AB">
        <w:rPr>
          <w:rStyle w:val="Hyperlink"/>
        </w:rPr>
        <w:t>[20]</w:t>
      </w:r>
      <w:r w:rsidRPr="00FE10AB">
        <w:fldChar w:fldCharType="end"/>
      </w:r>
      <w:bookmarkEnd w:id="19"/>
      <w:r w:rsidRPr="00FE10AB">
        <w:t xml:space="preserve"> </w:t>
      </w:r>
      <w:hyperlink r:id="rId34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175–183. See also </w:t>
      </w:r>
      <w:hyperlink r:id="rId35" w:history="1">
        <w:r w:rsidRPr="00FE10AB">
          <w:rPr>
            <w:rStyle w:val="Hyperlink"/>
            <w:i/>
            <w:iCs/>
          </w:rPr>
          <w:t>Finch</w:t>
        </w:r>
      </w:hyperlink>
      <w:r w:rsidRPr="00FE10AB">
        <w:t xml:space="preserve"> (n 3) [97] and </w:t>
      </w:r>
      <w:hyperlink r:id="rId36" w:history="1">
        <w:r w:rsidRPr="00FE10AB">
          <w:rPr>
            <w:rStyle w:val="Hyperlink"/>
          </w:rPr>
          <w:t>Supplementary Guidance</w:t>
        </w:r>
      </w:hyperlink>
      <w:r w:rsidRPr="00FE10AB">
        <w:t xml:space="preserve"> (n 17), 8, 11–12.</w:t>
      </w:r>
    </w:p>
    <w:bookmarkStart w:id="20" w:name="_ftn21"/>
    <w:p w14:paraId="0821896D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"_ftnref21"</w:instrText>
      </w:r>
      <w:r w:rsidRPr="00FE10AB">
        <w:fldChar w:fldCharType="separate"/>
      </w:r>
      <w:r w:rsidRPr="00FE10AB">
        <w:rPr>
          <w:rStyle w:val="Hyperlink"/>
        </w:rPr>
        <w:t>[21]</w:t>
      </w:r>
      <w:r w:rsidRPr="00FE10AB">
        <w:fldChar w:fldCharType="end"/>
      </w:r>
      <w:bookmarkEnd w:id="20"/>
      <w:r w:rsidRPr="00FE10AB">
        <w:t xml:space="preserve"> </w:t>
      </w:r>
      <w:hyperlink r:id="rId37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175–183.</w:t>
      </w:r>
    </w:p>
    <w:bookmarkStart w:id="21" w:name="_ftn22"/>
    <w:p w14:paraId="09A1CFF3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"_ftnref22"</w:instrText>
      </w:r>
      <w:r w:rsidRPr="00FE10AB">
        <w:fldChar w:fldCharType="separate"/>
      </w:r>
      <w:r w:rsidRPr="00FE10AB">
        <w:rPr>
          <w:rStyle w:val="Hyperlink"/>
        </w:rPr>
        <w:t>[22]</w:t>
      </w:r>
      <w:r w:rsidRPr="00FE10AB">
        <w:fldChar w:fldCharType="end"/>
      </w:r>
      <w:bookmarkEnd w:id="21"/>
      <w:r w:rsidRPr="00FE10AB">
        <w:t xml:space="preserve"> Chris Hilson, </w:t>
      </w:r>
      <w:hyperlink r:id="rId38" w:history="1">
        <w:r w:rsidRPr="00FE10AB">
          <w:rPr>
            <w:rStyle w:val="Hyperlink"/>
          </w:rPr>
          <w:t>‘Jackdaw Decision Is a Short-term Fix with Long-term Risks’</w:t>
        </w:r>
      </w:hyperlink>
      <w:r w:rsidRPr="00FE10AB">
        <w:t xml:space="preserve"> (University of Reading, 21 October 2026), accessed 22 October 2026.</w:t>
      </w:r>
    </w:p>
    <w:bookmarkStart w:id="22" w:name="_ftn23"/>
    <w:p w14:paraId="1FB35D58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"_ftnref23"</w:instrText>
      </w:r>
      <w:r w:rsidRPr="00FE10AB">
        <w:fldChar w:fldCharType="separate"/>
      </w:r>
      <w:r w:rsidRPr="00FE10AB">
        <w:rPr>
          <w:rStyle w:val="Hyperlink"/>
        </w:rPr>
        <w:t>[23]</w:t>
      </w:r>
      <w:r w:rsidRPr="00FE10AB">
        <w:fldChar w:fldCharType="end"/>
      </w:r>
      <w:bookmarkEnd w:id="22"/>
      <w:r w:rsidRPr="00FE10AB">
        <w:t xml:space="preserve"> </w:t>
      </w:r>
      <w:hyperlink r:id="rId39" w:history="1">
        <w:r w:rsidRPr="00FE10AB">
          <w:rPr>
            <w:rStyle w:val="Hyperlink"/>
          </w:rPr>
          <w:t>Supplementary Guidance</w:t>
        </w:r>
      </w:hyperlink>
      <w:r w:rsidRPr="00FE10AB">
        <w:t xml:space="preserve"> (n 17), 7 and 12. See also </w:t>
      </w:r>
      <w:hyperlink r:id="rId40" w:history="1">
        <w:r w:rsidRPr="00FE10AB">
          <w:rPr>
            <w:rStyle w:val="Hyperlink"/>
            <w:i/>
            <w:iCs/>
          </w:rPr>
          <w:t>Friends of the Earth Ltd v Secretary of State for Levelling Up, Housing and Communities</w:t>
        </w:r>
      </w:hyperlink>
      <w:r w:rsidRPr="00FE10AB">
        <w:t xml:space="preserve"> [2024] EWHC 2349 (Admin), [115]</w:t>
      </w:r>
      <w:proofErr w:type="gramStart"/>
      <w:r w:rsidRPr="00FE10AB">
        <w:t>–[</w:t>
      </w:r>
      <w:proofErr w:type="gramEnd"/>
      <w:r w:rsidRPr="00FE10AB">
        <w:t>116], [183]</w:t>
      </w:r>
      <w:proofErr w:type="gramStart"/>
      <w:r w:rsidRPr="00FE10AB">
        <w:t>–[</w:t>
      </w:r>
      <w:proofErr w:type="gramEnd"/>
      <w:r w:rsidRPr="00FE10AB">
        <w:t>187].</w:t>
      </w:r>
    </w:p>
    <w:bookmarkStart w:id="23" w:name="_ftn24"/>
    <w:p w14:paraId="3F10B80F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"_ftnref24"</w:instrText>
      </w:r>
      <w:r w:rsidRPr="00FE10AB">
        <w:fldChar w:fldCharType="separate"/>
      </w:r>
      <w:r w:rsidRPr="00FE10AB">
        <w:rPr>
          <w:rStyle w:val="Hyperlink"/>
        </w:rPr>
        <w:t>[24]</w:t>
      </w:r>
      <w:r w:rsidRPr="00FE10AB">
        <w:fldChar w:fldCharType="end"/>
      </w:r>
      <w:bookmarkEnd w:id="23"/>
      <w:r w:rsidRPr="00FE10AB">
        <w:t xml:space="preserve"> </w:t>
      </w:r>
      <w:hyperlink r:id="rId41" w:history="1">
        <w:r w:rsidRPr="00FE10AB">
          <w:rPr>
            <w:rStyle w:val="Hyperlink"/>
          </w:rPr>
          <w:t>Decision</w:t>
        </w:r>
      </w:hyperlink>
      <w:r w:rsidRPr="00FE10AB">
        <w:t xml:space="preserve"> (n 7), paras 60–65, 174 and 182.</w:t>
      </w:r>
    </w:p>
    <w:bookmarkStart w:id="24" w:name="_ftn25"/>
    <w:p w14:paraId="7F71EF09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"_ftnref25"</w:instrText>
      </w:r>
      <w:r w:rsidRPr="00FE10AB">
        <w:fldChar w:fldCharType="separate"/>
      </w:r>
      <w:r w:rsidRPr="00FE10AB">
        <w:rPr>
          <w:rStyle w:val="Hyperlink"/>
        </w:rPr>
        <w:t>[25]</w:t>
      </w:r>
      <w:r w:rsidRPr="00FE10AB">
        <w:fldChar w:fldCharType="end"/>
      </w:r>
      <w:bookmarkEnd w:id="24"/>
      <w:r w:rsidRPr="00FE10AB">
        <w:t xml:space="preserve"> </w:t>
      </w:r>
      <w:hyperlink r:id="rId42" w:history="1">
        <w:r w:rsidRPr="00FE10AB">
          <w:rPr>
            <w:rStyle w:val="Hyperlink"/>
            <w:i/>
            <w:iCs/>
          </w:rPr>
          <w:t>Finch</w:t>
        </w:r>
      </w:hyperlink>
      <w:r w:rsidRPr="00FE10AB">
        <w:t xml:space="preserve"> (n 3) [61]</w:t>
      </w:r>
      <w:proofErr w:type="gramStart"/>
      <w:r w:rsidRPr="00FE10AB">
        <w:t>–[</w:t>
      </w:r>
      <w:proofErr w:type="gramEnd"/>
      <w:r w:rsidRPr="00FE10AB">
        <w:t>63].</w:t>
      </w:r>
    </w:p>
    <w:bookmarkStart w:id="25" w:name="_ftn26"/>
    <w:p w14:paraId="50EC396F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"_ftnref26"</w:instrText>
      </w:r>
      <w:r w:rsidRPr="00FE10AB">
        <w:fldChar w:fldCharType="separate"/>
      </w:r>
      <w:r w:rsidRPr="00FE10AB">
        <w:rPr>
          <w:rStyle w:val="Hyperlink"/>
        </w:rPr>
        <w:t>[26]</w:t>
      </w:r>
      <w:r w:rsidRPr="00FE10AB">
        <w:fldChar w:fldCharType="end"/>
      </w:r>
      <w:bookmarkEnd w:id="25"/>
      <w:r w:rsidRPr="00FE10AB">
        <w:t xml:space="preserve"> </w:t>
      </w:r>
      <w:hyperlink r:id="rId43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174 and 210–214. Annex A, PDF p 78, records OPRED’s requests for methodology, assumptions and uncertainty analysis concerning the economic estimates.</w:t>
      </w:r>
    </w:p>
    <w:bookmarkStart w:id="26" w:name="_ftn27"/>
    <w:p w14:paraId="11643942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lastRenderedPageBreak/>
        <w:fldChar w:fldCharType="begin"/>
      </w:r>
      <w:r w:rsidRPr="00FE10AB">
        <w:instrText>HYPERLINK "" \l "_ftnref27"</w:instrText>
      </w:r>
      <w:r w:rsidRPr="00FE10AB">
        <w:fldChar w:fldCharType="separate"/>
      </w:r>
      <w:r w:rsidRPr="00FE10AB">
        <w:rPr>
          <w:rStyle w:val="Hyperlink"/>
        </w:rPr>
        <w:t>[27]</w:t>
      </w:r>
      <w:r w:rsidRPr="00FE10AB">
        <w:fldChar w:fldCharType="end"/>
      </w:r>
      <w:bookmarkEnd w:id="26"/>
      <w:r w:rsidRPr="00FE10AB">
        <w:t xml:space="preserve"> </w:t>
      </w:r>
      <w:hyperlink r:id="rId44" w:history="1">
        <w:r w:rsidRPr="00FE10AB">
          <w:rPr>
            <w:rStyle w:val="Hyperlink"/>
          </w:rPr>
          <w:t>2020 Regulations</w:t>
        </w:r>
      </w:hyperlink>
      <w:r w:rsidRPr="00FE10AB">
        <w:t xml:space="preserve"> (n 18), reg 3 (definition of ‘environmental impact assessment’) and reg 14.</w:t>
      </w:r>
    </w:p>
    <w:bookmarkStart w:id="27" w:name="_ftn28"/>
    <w:p w14:paraId="4CF55BF6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"_ftnref28"</w:instrText>
      </w:r>
      <w:r w:rsidRPr="00FE10AB">
        <w:fldChar w:fldCharType="separate"/>
      </w:r>
      <w:r w:rsidRPr="00FE10AB">
        <w:rPr>
          <w:rStyle w:val="Hyperlink"/>
        </w:rPr>
        <w:t>[28]</w:t>
      </w:r>
      <w:r w:rsidRPr="00FE10AB">
        <w:fldChar w:fldCharType="end"/>
      </w:r>
      <w:bookmarkEnd w:id="27"/>
      <w:r w:rsidRPr="00FE10AB">
        <w:t xml:space="preserve"> </w:t>
      </w:r>
      <w:hyperlink r:id="rId45" w:history="1">
        <w:r w:rsidRPr="00FE10AB">
          <w:rPr>
            <w:rStyle w:val="Hyperlink"/>
          </w:rPr>
          <w:t>Decision</w:t>
        </w:r>
      </w:hyperlink>
      <w:r w:rsidRPr="00FE10AB">
        <w:t xml:space="preserve"> (n 7), paras 197–203.</w:t>
      </w:r>
    </w:p>
    <w:bookmarkStart w:id="28" w:name="_ftn29"/>
    <w:p w14:paraId="7BD5D50A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"_ftnref29"</w:instrText>
      </w:r>
      <w:r w:rsidRPr="00FE10AB">
        <w:fldChar w:fldCharType="separate"/>
      </w:r>
      <w:r w:rsidRPr="00FE10AB">
        <w:rPr>
          <w:rStyle w:val="Hyperlink"/>
        </w:rPr>
        <w:t>[29]</w:t>
      </w:r>
      <w:r w:rsidRPr="00FE10AB">
        <w:fldChar w:fldCharType="end"/>
      </w:r>
      <w:bookmarkEnd w:id="28"/>
      <w:r w:rsidRPr="00FE10AB">
        <w:t xml:space="preserve"> </w:t>
      </w:r>
      <w:hyperlink r:id="rId46" w:history="1">
        <w:r w:rsidRPr="00FE10AB">
          <w:rPr>
            <w:rStyle w:val="Hyperlink"/>
          </w:rPr>
          <w:t>2020 Regulations</w:t>
        </w:r>
      </w:hyperlink>
      <w:r w:rsidRPr="00FE10AB">
        <w:t xml:space="preserve"> (n 18), </w:t>
      </w:r>
      <w:proofErr w:type="spellStart"/>
      <w:r w:rsidRPr="00FE10AB">
        <w:t>sch</w:t>
      </w:r>
      <w:proofErr w:type="spellEnd"/>
      <w:r w:rsidRPr="00FE10AB">
        <w:t xml:space="preserve"> 6, paras 4(e) and 5(b). See </w:t>
      </w:r>
      <w:hyperlink r:id="rId47" w:history="1">
        <w:r w:rsidRPr="00FE10AB">
          <w:rPr>
            <w:rStyle w:val="Hyperlink"/>
            <w:i/>
            <w:iCs/>
          </w:rPr>
          <w:t>Finch</w:t>
        </w:r>
      </w:hyperlink>
      <w:r w:rsidRPr="00FE10AB">
        <w:t xml:space="preserve"> (n 3) [76]</w:t>
      </w:r>
      <w:proofErr w:type="gramStart"/>
      <w:r w:rsidRPr="00FE10AB">
        <w:t>–[</w:t>
      </w:r>
      <w:proofErr w:type="gramEnd"/>
      <w:r w:rsidRPr="00FE10AB">
        <w:t>78], [83]</w:t>
      </w:r>
      <w:proofErr w:type="gramStart"/>
      <w:r w:rsidRPr="00FE10AB">
        <w:t>–[</w:t>
      </w:r>
      <w:proofErr w:type="gramEnd"/>
      <w:r w:rsidRPr="00FE10AB">
        <w:t>90] and [167]</w:t>
      </w:r>
      <w:proofErr w:type="gramStart"/>
      <w:r w:rsidRPr="00FE10AB">
        <w:t>–[</w:t>
      </w:r>
      <w:proofErr w:type="gramEnd"/>
      <w:r w:rsidRPr="00FE10AB">
        <w:t>168] on likely indirect effects and their assessment.</w:t>
      </w:r>
    </w:p>
    <w:bookmarkStart w:id="29" w:name="_ftn30"/>
    <w:p w14:paraId="555AD751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"_ftnref30"</w:instrText>
      </w:r>
      <w:r w:rsidRPr="00FE10AB">
        <w:fldChar w:fldCharType="separate"/>
      </w:r>
      <w:r w:rsidRPr="00FE10AB">
        <w:rPr>
          <w:rStyle w:val="Hyperlink"/>
        </w:rPr>
        <w:t>[30]</w:t>
      </w:r>
      <w:r w:rsidRPr="00FE10AB">
        <w:fldChar w:fldCharType="end"/>
      </w:r>
      <w:bookmarkEnd w:id="29"/>
      <w:r w:rsidRPr="00FE10AB">
        <w:t xml:space="preserve"> </w:t>
      </w:r>
      <w:hyperlink r:id="rId48" w:history="1">
        <w:r w:rsidRPr="00FE10AB">
          <w:rPr>
            <w:rStyle w:val="Hyperlink"/>
          </w:rPr>
          <w:t>Decision</w:t>
        </w:r>
      </w:hyperlink>
      <w:r w:rsidRPr="00FE10AB">
        <w:t xml:space="preserve"> (n 7), paras 177 and 232–237.</w:t>
      </w:r>
    </w:p>
    <w:bookmarkStart w:id="30" w:name="_ftn31"/>
    <w:p w14:paraId="190333D7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"_ftnref31"</w:instrText>
      </w:r>
      <w:r w:rsidRPr="00FE10AB">
        <w:fldChar w:fldCharType="separate"/>
      </w:r>
      <w:r w:rsidRPr="00FE10AB">
        <w:rPr>
          <w:rStyle w:val="Hyperlink"/>
        </w:rPr>
        <w:t>[31]</w:t>
      </w:r>
      <w:r w:rsidRPr="00FE10AB">
        <w:fldChar w:fldCharType="end"/>
      </w:r>
      <w:bookmarkEnd w:id="30"/>
      <w:r w:rsidRPr="00FE10AB">
        <w:t xml:space="preserve"> </w:t>
      </w:r>
      <w:hyperlink r:id="rId49" w:history="1">
        <w:r w:rsidRPr="00FE10AB">
          <w:rPr>
            <w:rStyle w:val="Hyperlink"/>
          </w:rPr>
          <w:t>Supplementary Guidance</w:t>
        </w:r>
      </w:hyperlink>
      <w:r w:rsidRPr="00FE10AB">
        <w:t xml:space="preserve"> (n 17), 13, ‘Mitigation Measures’.</w:t>
      </w:r>
    </w:p>
    <w:bookmarkStart w:id="31" w:name="_ftn32"/>
    <w:p w14:paraId="2AE88AC9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"_ftnref32"</w:instrText>
      </w:r>
      <w:r w:rsidRPr="00FE10AB">
        <w:fldChar w:fldCharType="separate"/>
      </w:r>
      <w:r w:rsidRPr="00FE10AB">
        <w:rPr>
          <w:rStyle w:val="Hyperlink"/>
        </w:rPr>
        <w:t>[32]</w:t>
      </w:r>
      <w:r w:rsidRPr="00FE10AB">
        <w:fldChar w:fldCharType="end"/>
      </w:r>
      <w:bookmarkEnd w:id="31"/>
      <w:r w:rsidRPr="00FE10AB">
        <w:t xml:space="preserve"> </w:t>
      </w:r>
      <w:hyperlink r:id="rId50" w:history="1">
        <w:r w:rsidRPr="00FE10AB">
          <w:rPr>
            <w:rStyle w:val="Hyperlink"/>
          </w:rPr>
          <w:t>Decision</w:t>
        </w:r>
      </w:hyperlink>
      <w:r w:rsidRPr="00FE10AB">
        <w:t xml:space="preserve"> (n 7), para 235; </w:t>
      </w:r>
      <w:hyperlink r:id="rId51" w:history="1">
        <w:r w:rsidRPr="00FE10AB">
          <w:rPr>
            <w:rStyle w:val="Hyperlink"/>
          </w:rPr>
          <w:t>2020 Regulations</w:t>
        </w:r>
      </w:hyperlink>
      <w:r w:rsidRPr="00FE10AB">
        <w:t xml:space="preserve"> (n 18), reg 4(4)</w:t>
      </w:r>
      <w:proofErr w:type="gramStart"/>
      <w:r w:rsidRPr="00FE10AB">
        <w:t>–(</w:t>
      </w:r>
      <w:proofErr w:type="gramEnd"/>
      <w:r w:rsidRPr="00FE10AB">
        <w:t>5).</w:t>
      </w:r>
    </w:p>
    <w:bookmarkStart w:id="32" w:name="_ftn33"/>
    <w:p w14:paraId="36210608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"_ftnref33"</w:instrText>
      </w:r>
      <w:r w:rsidRPr="00FE10AB">
        <w:fldChar w:fldCharType="separate"/>
      </w:r>
      <w:r w:rsidRPr="00FE10AB">
        <w:rPr>
          <w:rStyle w:val="Hyperlink"/>
        </w:rPr>
        <w:t>[33]</w:t>
      </w:r>
      <w:r w:rsidRPr="00FE10AB">
        <w:fldChar w:fldCharType="end"/>
      </w:r>
      <w:bookmarkEnd w:id="32"/>
      <w:r w:rsidRPr="00FE10AB">
        <w:t xml:space="preserve"> DESNZ and others, </w:t>
      </w:r>
      <w:hyperlink r:id="rId52" w:history="1">
        <w:r w:rsidRPr="00FE10AB">
          <w:rPr>
            <w:rStyle w:val="Hyperlink"/>
          </w:rPr>
          <w:t>‘Jackdaw Gas Field Gets Green Light’</w:t>
        </w:r>
      </w:hyperlink>
      <w:r w:rsidRPr="00FE10AB">
        <w:t xml:space="preserve"> (21 October 2026), accessed 22 October 2026.</w:t>
      </w:r>
    </w:p>
    <w:bookmarkStart w:id="33" w:name="_ftn34"/>
    <w:p w14:paraId="2BF11F8C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"_ftnref34"</w:instrText>
      </w:r>
      <w:r w:rsidRPr="00FE10AB">
        <w:fldChar w:fldCharType="separate"/>
      </w:r>
      <w:r w:rsidRPr="00FE10AB">
        <w:rPr>
          <w:rStyle w:val="Hyperlink"/>
        </w:rPr>
        <w:t>[34]</w:t>
      </w:r>
      <w:r w:rsidRPr="00FE10AB">
        <w:fldChar w:fldCharType="end"/>
      </w:r>
      <w:bookmarkEnd w:id="33"/>
      <w:r w:rsidRPr="00FE10AB">
        <w:t xml:space="preserve"> </w:t>
      </w:r>
      <w:hyperlink r:id="rId53" w:history="1">
        <w:r w:rsidRPr="00FE10AB">
          <w:rPr>
            <w:rStyle w:val="Hyperlink"/>
          </w:rPr>
          <w:t>Rules of the Court of Session 1994</w:t>
        </w:r>
      </w:hyperlink>
      <w:r w:rsidRPr="00FE10AB">
        <w:t xml:space="preserve">, </w:t>
      </w:r>
      <w:proofErr w:type="spellStart"/>
      <w:r w:rsidRPr="00FE10AB">
        <w:t>rr</w:t>
      </w:r>
      <w:proofErr w:type="spellEnd"/>
      <w:r w:rsidRPr="00FE10AB">
        <w:t xml:space="preserve"> 58.4(3)</w:t>
      </w:r>
      <w:proofErr w:type="gramStart"/>
      <w:r w:rsidRPr="00FE10AB">
        <w:t>–(</w:t>
      </w:r>
      <w:proofErr w:type="gramEnd"/>
      <w:r w:rsidRPr="00FE10AB">
        <w:t>6) and 58.13(2)</w:t>
      </w:r>
      <w:proofErr w:type="gramStart"/>
      <w:r w:rsidRPr="00FE10AB">
        <w:t>–(</w:t>
      </w:r>
      <w:proofErr w:type="gramEnd"/>
      <w:r w:rsidRPr="00FE10AB">
        <w:t>3).</w:t>
      </w:r>
    </w:p>
    <w:bookmarkStart w:id="34" w:name="_ftn35"/>
    <w:p w14:paraId="5C541201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"_ftnref35"</w:instrText>
      </w:r>
      <w:r w:rsidRPr="00FE10AB">
        <w:fldChar w:fldCharType="separate"/>
      </w:r>
      <w:r w:rsidRPr="00FE10AB">
        <w:rPr>
          <w:rStyle w:val="Hyperlink"/>
        </w:rPr>
        <w:t>[35]</w:t>
      </w:r>
      <w:r w:rsidRPr="00FE10AB">
        <w:fldChar w:fldCharType="end"/>
      </w:r>
      <w:bookmarkEnd w:id="34"/>
      <w:r w:rsidRPr="00FE10AB">
        <w:t xml:space="preserve"> Kevin Anderson, </w:t>
      </w:r>
      <w:hyperlink r:id="rId54" w:history="1">
        <w:r w:rsidRPr="00FE10AB">
          <w:rPr>
            <w:rStyle w:val="Hyperlink"/>
          </w:rPr>
          <w:t>‘Jackdaw: A Decision for the Last Century’</w:t>
        </w:r>
      </w:hyperlink>
      <w:r w:rsidRPr="00FE10AB">
        <w:t xml:space="preserve"> (Climate Uncensored, 21 October 2026), accessed 22 October 2026. The decision itself acknowledges the concern about precedent and climate leadership: </w:t>
      </w:r>
      <w:hyperlink r:id="rId55" w:history="1">
        <w:r w:rsidRPr="00FE10AB">
          <w:rPr>
            <w:rStyle w:val="Hyperlink"/>
          </w:rPr>
          <w:t>Decision</w:t>
        </w:r>
      </w:hyperlink>
      <w:r w:rsidRPr="00FE10AB">
        <w:t xml:space="preserve"> (n 7), paras 227–231.</w:t>
      </w:r>
    </w:p>
    <w:bookmarkStart w:id="35" w:name="_ftn36"/>
    <w:p w14:paraId="20438988" w14:textId="77777777" w:rsidR="00FE10AB" w:rsidRPr="00FE10AB" w:rsidRDefault="00FE10AB" w:rsidP="00FE10AB">
      <w:pPr>
        <w:numPr>
          <w:ilvl w:val="0"/>
          <w:numId w:val="1"/>
        </w:numPr>
      </w:pPr>
      <w:r w:rsidRPr="00FE10AB">
        <w:fldChar w:fldCharType="begin"/>
      </w:r>
      <w:r w:rsidRPr="00FE10AB">
        <w:instrText>HYPERLINK "" \l "_ftnref36"</w:instrText>
      </w:r>
      <w:r w:rsidRPr="00FE10AB">
        <w:fldChar w:fldCharType="separate"/>
      </w:r>
      <w:r w:rsidRPr="00FE10AB">
        <w:rPr>
          <w:rStyle w:val="Hyperlink"/>
        </w:rPr>
        <w:t>[36]</w:t>
      </w:r>
      <w:r w:rsidRPr="00FE10AB">
        <w:fldChar w:fldCharType="end"/>
      </w:r>
      <w:bookmarkEnd w:id="35"/>
      <w:r w:rsidRPr="00FE10AB">
        <w:t xml:space="preserve"> </w:t>
      </w:r>
      <w:hyperlink r:id="rId56" w:history="1">
        <w:r w:rsidRPr="00FE10AB">
          <w:rPr>
            <w:rStyle w:val="Hyperlink"/>
          </w:rPr>
          <w:t>IPCC</w:t>
        </w:r>
      </w:hyperlink>
      <w:r w:rsidRPr="00FE10AB">
        <w:t xml:space="preserve"> (n 2), sections B.5–B.6 and C.1; </w:t>
      </w:r>
      <w:hyperlink r:id="rId57" w:history="1">
        <w:r w:rsidRPr="00FE10AB">
          <w:rPr>
            <w:rStyle w:val="Hyperlink"/>
          </w:rPr>
          <w:t>Supplementary Guidance</w:t>
        </w:r>
      </w:hyperlink>
      <w:r w:rsidRPr="00FE10AB">
        <w:t xml:space="preserve"> (n 17), 8, 11–12; </w:t>
      </w:r>
      <w:hyperlink r:id="rId58" w:history="1">
        <w:r w:rsidRPr="00FE10AB">
          <w:rPr>
            <w:rStyle w:val="Hyperlink"/>
          </w:rPr>
          <w:t>ICJ Opinion</w:t>
        </w:r>
      </w:hyperlink>
      <w:r w:rsidRPr="00FE10AB">
        <w:t xml:space="preserve"> (n 13), paras 224 and 276–280.</w:t>
      </w:r>
    </w:p>
    <w:p w14:paraId="2986C8A9" w14:textId="77777777" w:rsidR="00F84494" w:rsidRDefault="00F84494"/>
    <w:sectPr w:rsidR="00F84494">
      <w:headerReference w:type="default" r:id="rId5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4786" w14:textId="77777777" w:rsidR="001F1A16" w:rsidRDefault="001F1A16" w:rsidP="00FE10AB">
      <w:pPr>
        <w:spacing w:after="0" w:line="240" w:lineRule="auto"/>
      </w:pPr>
      <w:r>
        <w:separator/>
      </w:r>
    </w:p>
  </w:endnote>
  <w:endnote w:type="continuationSeparator" w:id="0">
    <w:p w14:paraId="46E0A00A" w14:textId="77777777" w:rsidR="001F1A16" w:rsidRDefault="001F1A16" w:rsidP="00FE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22EB" w14:textId="77777777" w:rsidR="001F1A16" w:rsidRDefault="001F1A16" w:rsidP="00FE10AB">
      <w:pPr>
        <w:spacing w:after="0" w:line="240" w:lineRule="auto"/>
      </w:pPr>
      <w:r>
        <w:separator/>
      </w:r>
    </w:p>
  </w:footnote>
  <w:footnote w:type="continuationSeparator" w:id="0">
    <w:p w14:paraId="200F6BDF" w14:textId="77777777" w:rsidR="001F1A16" w:rsidRDefault="001F1A16" w:rsidP="00FE1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10D2" w14:textId="722F744D" w:rsidR="00FE10AB" w:rsidRDefault="00FE10AB" w:rsidP="00FE10AB">
    <w:pPr>
      <w:pStyle w:val="Header"/>
      <w:tabs>
        <w:tab w:val="clear" w:pos="4513"/>
        <w:tab w:val="clear" w:pos="9026"/>
        <w:tab w:val="left" w:pos="3968"/>
      </w:tabs>
    </w:pPr>
    <w:r w:rsidRPr="00FE10AB">
      <w:t>Climate Justice Blog: Jackdaw approved again in a climate emergency</w:t>
    </w:r>
    <w:r>
      <w:br/>
      <w:t>Acland Bryant, Garden Court Chambers</w:t>
    </w:r>
  </w:p>
  <w:p w14:paraId="510CC0CA" w14:textId="58ACE1F9" w:rsidR="00FE10AB" w:rsidRDefault="00FE10AB" w:rsidP="00FE10AB">
    <w:pPr>
      <w:pStyle w:val="Header"/>
      <w:tabs>
        <w:tab w:val="clear" w:pos="4513"/>
        <w:tab w:val="clear" w:pos="9026"/>
        <w:tab w:val="left" w:pos="3968"/>
      </w:tabs>
    </w:pPr>
    <w:r>
      <w:t>22 October 2026</w:t>
    </w:r>
  </w:p>
  <w:p w14:paraId="0EF14596" w14:textId="77777777" w:rsidR="00FE10AB" w:rsidRDefault="00FE10AB" w:rsidP="00FE10AB">
    <w:pPr>
      <w:pStyle w:val="Header"/>
      <w:tabs>
        <w:tab w:val="clear" w:pos="4513"/>
        <w:tab w:val="clear" w:pos="9026"/>
        <w:tab w:val="left" w:pos="39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54459"/>
    <w:multiLevelType w:val="multilevel"/>
    <w:tmpl w:val="748C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73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AB"/>
    <w:rsid w:val="001F1A16"/>
    <w:rsid w:val="00625EDD"/>
    <w:rsid w:val="008B2EA8"/>
    <w:rsid w:val="008F17B0"/>
    <w:rsid w:val="00CE1233"/>
    <w:rsid w:val="00F84494"/>
    <w:rsid w:val="00FE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4FCC2"/>
  <w15:chartTrackingRefBased/>
  <w15:docId w15:val="{5FE0A0E9-4F9F-4063-8DFE-1A5F536B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0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0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0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1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0AB"/>
  </w:style>
  <w:style w:type="paragraph" w:styleId="Footer">
    <w:name w:val="footer"/>
    <w:basedOn w:val="Normal"/>
    <w:link w:val="FooterChar"/>
    <w:uiPriority w:val="99"/>
    <w:unhideWhenUsed/>
    <w:rsid w:val="00FE1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tcourts.gov.uk/media/v0zkbsxy/2025csoh10-petitions-by-greenpeace-limited-and-uplift-for-judicial-review.pdf" TargetMode="External"/><Relationship Id="rId18" Type="http://schemas.openxmlformats.org/officeDocument/2006/relationships/hyperlink" Target="https://assets.publishing.service.gov.uk/media/6ad77f4e13c9ff4fd08ed632/20261014_Jackdaw_decision_doc.pdf" TargetMode="External"/><Relationship Id="rId26" Type="http://schemas.openxmlformats.org/officeDocument/2006/relationships/hyperlink" Target="https://www.judiciary.uk/wp-content/uploads/2023/01/R-on-the-application-of-Friends-of-the-Earth-Limited-v-Secretary-of-State-for-International-Trade-and-others.pdf" TargetMode="External"/><Relationship Id="rId39" Type="http://schemas.openxmlformats.org/officeDocument/2006/relationships/hyperlink" Target="https://assets.publishing.service.gov.uk/media/6853fa3d1203c00468ba2b15/Supplementary_guidance_-_Effects_of_Scope_3_Emissions.pdf" TargetMode="External"/><Relationship Id="rId21" Type="http://schemas.openxmlformats.org/officeDocument/2006/relationships/hyperlink" Target="https://www.upliftuk.org/post/jackdaw-approved-rosebank" TargetMode="External"/><Relationship Id="rId34" Type="http://schemas.openxmlformats.org/officeDocument/2006/relationships/hyperlink" Target="https://assets.publishing.service.gov.uk/media/6ad77f4e13c9ff4fd08ed632/20261014_Jackdaw_decision_doc.pdf" TargetMode="External"/><Relationship Id="rId42" Type="http://schemas.openxmlformats.org/officeDocument/2006/relationships/hyperlink" Target="https://supremecourt.uk/cases/judgments/uksc-2022-0064" TargetMode="External"/><Relationship Id="rId47" Type="http://schemas.openxmlformats.org/officeDocument/2006/relationships/hyperlink" Target="https://supremecourt.uk/cases/judgments/uksc-2022-0064" TargetMode="External"/><Relationship Id="rId50" Type="http://schemas.openxmlformats.org/officeDocument/2006/relationships/hyperlink" Target="https://assets.publishing.service.gov.uk/media/6ad77f4e13c9ff4fd08ed632/20261014_Jackdaw_decision_doc.pdf" TargetMode="External"/><Relationship Id="rId55" Type="http://schemas.openxmlformats.org/officeDocument/2006/relationships/hyperlink" Target="https://assets.publishing.service.gov.uk/media/6ad77f4e13c9ff4fd08ed632/20261014_Jackdaw_decision_doc.pdf" TargetMode="External"/><Relationship Id="rId7" Type="http://schemas.openxmlformats.org/officeDocument/2006/relationships/hyperlink" Target="https://www.nstauthority.co.uk/news-publications/nsta-grants-consent-for-jackda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sets.publishing.service.gov.uk/media/6ad77f4e13c9ff4fd08ed632/20261014_Jackdaw_decision_doc.pdf" TargetMode="External"/><Relationship Id="rId29" Type="http://schemas.openxmlformats.org/officeDocument/2006/relationships/hyperlink" Target="https://blogs.law.columbia.edu/climatechange/2025/09/03/doing-the-utmost-due-diligence-as-the-standard-of-conduct-in-international-climate-law/" TargetMode="External"/><Relationship Id="rId11" Type="http://schemas.openxmlformats.org/officeDocument/2006/relationships/hyperlink" Target="https://supremecourt.uk/cases/judgments/uksc-2022-0064" TargetMode="External"/><Relationship Id="rId24" Type="http://schemas.openxmlformats.org/officeDocument/2006/relationships/hyperlink" Target="https://assets.publishing.service.gov.uk/media/6ad77f4e13c9ff4fd08ed632/20261014_Jackdaw_decision_doc.pdf" TargetMode="External"/><Relationship Id="rId32" Type="http://schemas.openxmlformats.org/officeDocument/2006/relationships/hyperlink" Target="https://assets.publishing.service.gov.uk/media/6ad77f4e13c9ff4fd08ed632/20261014_Jackdaw_decision_doc.pdf" TargetMode="External"/><Relationship Id="rId37" Type="http://schemas.openxmlformats.org/officeDocument/2006/relationships/hyperlink" Target="https://assets.publishing.service.gov.uk/media/6ad77f4e13c9ff4fd08ed632/20261014_Jackdaw_decision_doc.pdf" TargetMode="External"/><Relationship Id="rId40" Type="http://schemas.openxmlformats.org/officeDocument/2006/relationships/hyperlink" Target="https://legacy.cumberland.gov.uk/elibrary/Content/Internet/541/38312/45548114234.pdf" TargetMode="External"/><Relationship Id="rId45" Type="http://schemas.openxmlformats.org/officeDocument/2006/relationships/hyperlink" Target="https://assets.publishing.service.gov.uk/media/6ad77f4e13c9ff4fd08ed632/20261014_Jackdaw_decision_doc.pdf" TargetMode="External"/><Relationship Id="rId53" Type="http://schemas.openxmlformats.org/officeDocument/2006/relationships/hyperlink" Target="https://www.scotcourts.gov.uk/media/gnobz45e/chapter-58-judicial-review.pdf" TargetMode="External"/><Relationship Id="rId58" Type="http://schemas.openxmlformats.org/officeDocument/2006/relationships/hyperlink" Target="https://icj-web.leman.un-icc.cloud/sites/default/files/case-related/187/187-20250723-adv-01-00-en.pdf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hyperlink" Target="https://assets.publishing.service.gov.uk/media/6ad77f4e13c9ff4fd08ed632/20261014_Jackdaw_decision_doc.pdf" TargetMode="External"/><Relationship Id="rId14" Type="http://schemas.openxmlformats.org/officeDocument/2006/relationships/hyperlink" Target="https://supremecourt.uk/cases/judgments/uksc-2022-0064" TargetMode="External"/><Relationship Id="rId22" Type="http://schemas.openxmlformats.org/officeDocument/2006/relationships/hyperlink" Target="https://www.sciencemediacentre.org/expert-reaction-to-government-approval-of-jackdaw-gas-field/" TargetMode="External"/><Relationship Id="rId27" Type="http://schemas.openxmlformats.org/officeDocument/2006/relationships/hyperlink" Target="https://icj-web.leman.un-icc.cloud/sites/default/files/case-related/187/187-20250723-adv-01-00-en.pdf" TargetMode="External"/><Relationship Id="rId30" Type="http://schemas.openxmlformats.org/officeDocument/2006/relationships/hyperlink" Target="https://assets.publishing.service.gov.uk/media/6853fa3d1203c00468ba2b15/Supplementary_guidance_-_Effects_of_Scope_3_Emissions.pdf" TargetMode="External"/><Relationship Id="rId35" Type="http://schemas.openxmlformats.org/officeDocument/2006/relationships/hyperlink" Target="https://supremecourt.uk/cases/judgments/uksc-2022-0064" TargetMode="External"/><Relationship Id="rId43" Type="http://schemas.openxmlformats.org/officeDocument/2006/relationships/hyperlink" Target="https://assets.publishing.service.gov.uk/media/6ad77f4e13c9ff4fd08ed632/20261014_Jackdaw_decision_doc.pdf" TargetMode="External"/><Relationship Id="rId48" Type="http://schemas.openxmlformats.org/officeDocument/2006/relationships/hyperlink" Target="https://assets.publishing.service.gov.uk/media/6ad77f4e13c9ff4fd08ed632/20261014_Jackdaw_decision_doc.pdf" TargetMode="External"/><Relationship Id="rId56" Type="http://schemas.openxmlformats.org/officeDocument/2006/relationships/hyperlink" Target="https://www.ipcc.ch/report/ar6/syr/downloads/report/IPCC_AR6_SYR_SPM.pdf" TargetMode="External"/><Relationship Id="rId8" Type="http://schemas.openxmlformats.org/officeDocument/2006/relationships/hyperlink" Target="https://assets.publishing.service.gov.uk/media/6ad77ba413c9ff4fd08ed62d/Jackdaw_REG_16_SoS_and_NSTA_s__Agree__Decision_Notice.pdf" TargetMode="External"/><Relationship Id="rId51" Type="http://schemas.openxmlformats.org/officeDocument/2006/relationships/hyperlink" Target="https://www.legislation.gov.uk/uksi/2020/1497/pdfs/uksi_20201497_en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cotcourts.gov.uk/media/v0zkbsxy/2025csoh10-petitions-by-greenpeace-limited-and-uplift-for-judicial-review.pdf" TargetMode="External"/><Relationship Id="rId17" Type="http://schemas.openxmlformats.org/officeDocument/2006/relationships/hyperlink" Target="https://www.gov.uk/government/statistics/provisional-uk-greenhouse-gas-emissions-statistics-2025/2025-uk-greenhouse-gas-emissions-provisional-figures-statistical-release" TargetMode="External"/><Relationship Id="rId25" Type="http://schemas.openxmlformats.org/officeDocument/2006/relationships/hyperlink" Target="https://www.judiciary.uk/wp-content/uploads/2023/01/R-on-the-application-of-Friends-of-the-Earth-Limited-v-Secretary-of-State-for-International-Trade-and-others.pdf" TargetMode="External"/><Relationship Id="rId33" Type="http://schemas.openxmlformats.org/officeDocument/2006/relationships/hyperlink" Target="https://www.legislation.gov.uk/uksi/2020/1497/pdfs/uksi_20201497_en.pdf" TargetMode="External"/><Relationship Id="rId38" Type="http://schemas.openxmlformats.org/officeDocument/2006/relationships/hyperlink" Target="https://www.reading.ac.uk/news/2026/Expert-Comment/Jackdaw-drilling---legal-expert-comments" TargetMode="External"/><Relationship Id="rId46" Type="http://schemas.openxmlformats.org/officeDocument/2006/relationships/hyperlink" Target="https://www.legislation.gov.uk/uksi/2020/1497/pdfs/uksi_20201497_en.pdf" TargetMode="External"/><Relationship Id="rId59" Type="http://schemas.openxmlformats.org/officeDocument/2006/relationships/header" Target="header1.xml"/><Relationship Id="rId20" Type="http://schemas.openxmlformats.org/officeDocument/2006/relationships/hyperlink" Target="https://www.lse.ac.uk/granthaminstitute/news/grantham-institute-respond-to-government-approval-of-jackdaw/" TargetMode="External"/><Relationship Id="rId41" Type="http://schemas.openxmlformats.org/officeDocument/2006/relationships/hyperlink" Target="https://assets.publishing.service.gov.uk/media/6ad77f4e13c9ff4fd08ed632/20261014_Jackdaw_decision_doc.pdf" TargetMode="External"/><Relationship Id="rId54" Type="http://schemas.openxmlformats.org/officeDocument/2006/relationships/hyperlink" Target="https://climateuncensored.com/jackdaw-a-decision-for-the-last-century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v.uk/government/publications/jackdaw-field-development" TargetMode="External"/><Relationship Id="rId23" Type="http://schemas.openxmlformats.org/officeDocument/2006/relationships/hyperlink" Target="https://icj-web.leman.un-icc.cloud/sites/default/files/case-related/187/187-20250723-adv-01-00-en.pdf" TargetMode="External"/><Relationship Id="rId28" Type="http://schemas.openxmlformats.org/officeDocument/2006/relationships/hyperlink" Target="https://assets.publishing.service.gov.uk/media/6ad77f4e13c9ff4fd08ed632/20261014_Jackdaw_decision_doc.pdf" TargetMode="External"/><Relationship Id="rId36" Type="http://schemas.openxmlformats.org/officeDocument/2006/relationships/hyperlink" Target="https://assets.publishing.service.gov.uk/media/6853fa3d1203c00468ba2b15/Supplementary_guidance_-_Effects_of_Scope_3_Emissions.pdf" TargetMode="External"/><Relationship Id="rId49" Type="http://schemas.openxmlformats.org/officeDocument/2006/relationships/hyperlink" Target="https://assets.publishing.service.gov.uk/media/6853fa3d1203c00468ba2b15/Supplementary_guidance_-_Effects_of_Scope_3_Emissions.pdf" TargetMode="External"/><Relationship Id="rId57" Type="http://schemas.openxmlformats.org/officeDocument/2006/relationships/hyperlink" Target="https://assets.publishing.service.gov.uk/media/6853fa3d1203c00468ba2b15/Supplementary_guidance_-_Effects_of_Scope_3_Emissions.pdf" TargetMode="External"/><Relationship Id="rId10" Type="http://schemas.openxmlformats.org/officeDocument/2006/relationships/hyperlink" Target="https://supremecourt.uk/cases/judgments/uksc-2022-0064" TargetMode="External"/><Relationship Id="rId31" Type="http://schemas.openxmlformats.org/officeDocument/2006/relationships/hyperlink" Target="https://www.legislation.gov.uk/uksi/2020/1497/pdfs/uksi_20201497_en.pdf" TargetMode="External"/><Relationship Id="rId44" Type="http://schemas.openxmlformats.org/officeDocument/2006/relationships/hyperlink" Target="https://www.legislation.gov.uk/uksi/2020/1497/pdfs/uksi_20201497_en.pdf" TargetMode="External"/><Relationship Id="rId52" Type="http://schemas.openxmlformats.org/officeDocument/2006/relationships/hyperlink" Target="https://www.gov.uk/government/news/jackdaw-gas-field-gets-green-light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pcc.ch/report/ar6/syr/downloads/report/IPCC_AR6_SYR_SP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1771</Words>
  <Characters>10098</Characters>
  <Application>Microsoft Office Word</Application>
  <DocSecurity>0</DocSecurity>
  <Lines>84</Lines>
  <Paragraphs>23</Paragraphs>
  <ScaleCrop>false</ScaleCrop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Anousha Khan</dc:creator>
  <cp:keywords/>
  <dc:description/>
  <cp:lastModifiedBy>Anousha Khan</cp:lastModifiedBy>
  <cp:revision>1</cp:revision>
  <dcterms:created xsi:type="dcterms:W3CDTF">2026-10-22T10:53:00Z</dcterms:created>
  <dcterms:modified xsi:type="dcterms:W3CDTF">2026-10-22T10:55:00Z</dcterms:modified>
</cp:coreProperties>
</file>